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Courier New" w:hAnsi="Courier New" w:cs="Courier New"/>
        </w:rPr>
      </w:pPr>
      <w:r>
        <w:rPr>
          <w:rFonts w:hint="default" w:ascii="Courier New" w:hAnsi="Courier New" w:eastAsia="宋体" w:cs="Courier New"/>
          <w:b/>
          <w:bCs/>
          <w:color w:val="000000"/>
          <w:kern w:val="0"/>
          <w:sz w:val="36"/>
          <w:szCs w:val="36"/>
          <w:lang w:val="en-US" w:eastAsia="zh-CN" w:bidi="ar"/>
        </w:rPr>
        <w:t>Off silver remover</w:t>
      </w:r>
    </w:p>
    <w:p>
      <w:pPr>
        <w:pStyle w:val="12"/>
        <w:shd w:val="clear" w:color="auto" w:fill="auto"/>
        <w:spacing w:after="200" w:line="360" w:lineRule="auto"/>
        <w:rPr>
          <w:rFonts w:hint="default" w:ascii="Courier New" w:hAnsi="Courier New" w:eastAsia="宋体" w:cs="Courier New"/>
          <w:lang w:val="en-US" w:eastAsia="zh-CN"/>
        </w:rPr>
      </w:pPr>
      <w:r>
        <w:rPr>
          <w:rFonts w:hint="default" w:ascii="Courier New" w:hAnsi="Courier New" w:cs="Courier New"/>
          <w:lang w:val="en-US" w:eastAsia="zh-CN"/>
        </w:rPr>
        <w:t>RT-3146</w:t>
      </w:r>
    </w:p>
    <w:p>
      <w:pPr>
        <w:pStyle w:val="14"/>
        <w:shd w:val="clear" w:color="auto" w:fill="auto"/>
        <w:spacing w:after="340" w:line="360" w:lineRule="auto"/>
        <w:ind w:firstLine="0"/>
        <w:rPr>
          <w:rFonts w:hint="default" w:ascii="Courier New" w:hAnsi="Courier New" w:eastAsia="宋体" w:cs="Courier New"/>
          <w:b/>
          <w:bCs/>
          <w:sz w:val="24"/>
          <w:szCs w:val="24"/>
          <w:lang w:eastAsia="zh-CN"/>
        </w:rPr>
      </w:pPr>
      <w:r>
        <w:rPr>
          <w:rFonts w:hint="default" w:ascii="Courier New" w:hAnsi="Courier New" w:eastAsia="宋体" w:cs="Courier New"/>
          <w:b/>
          <w:bCs/>
          <w:sz w:val="24"/>
          <w:szCs w:val="24"/>
          <w:lang w:eastAsia="zh-CN"/>
        </w:rPr>
        <w:t>Features and advantages:</w:t>
      </w:r>
    </w:p>
    <w:p>
      <w:pPr>
        <w:pStyle w:val="14"/>
        <w:shd w:val="clear" w:color="auto" w:fill="auto"/>
        <w:spacing w:after="340" w:line="360" w:lineRule="auto"/>
        <w:ind w:firstLine="420" w:firstLineChars="0"/>
        <w:rPr>
          <w:rFonts w:hint="default" w:ascii="Courier New" w:hAnsi="Courier New" w:eastAsia="宋体" w:cs="Courier New"/>
          <w:b w:val="0"/>
          <w:bCs w:val="0"/>
          <w:sz w:val="24"/>
          <w:szCs w:val="24"/>
          <w:lang w:eastAsia="zh-CN"/>
        </w:rPr>
      </w:pPr>
      <w:r>
        <w:rPr>
          <w:rFonts w:hint="default" w:ascii="Courier New" w:hAnsi="Courier New" w:eastAsia="宋体" w:cs="Courier New"/>
          <w:b w:val="0"/>
          <w:bCs w:val="0"/>
          <w:sz w:val="24"/>
          <w:szCs w:val="24"/>
          <w:lang w:eastAsia="zh-CN"/>
        </w:rPr>
        <w:t>Anti-silver agent effect is very outstanding, and its acid value is low, will not cause aluminum powder black, has very good storage stability. It is helpful to improve the adhesion of coating to glass, electroplating substrate, plastic, non-iron metal, wood and so on. It has bright effect on aluminum and silver powder, and can increase the hardness and luster of paint film.</w:t>
      </w:r>
      <w:bookmarkStart w:id="0" w:name="_GoBack"/>
      <w:bookmarkEnd w:id="0"/>
    </w:p>
    <w:p>
      <w:pPr>
        <w:pStyle w:val="14"/>
        <w:shd w:val="clear" w:color="auto" w:fill="auto"/>
        <w:spacing w:after="340" w:line="360" w:lineRule="auto"/>
        <w:ind w:left="0" w:leftChars="0" w:firstLine="0" w:firstLineChars="0"/>
        <w:rPr>
          <w:rFonts w:hint="default" w:ascii="Courier New" w:hAnsi="Courier New" w:eastAsia="宋体" w:cs="Courier New"/>
          <w:b/>
          <w:bCs/>
          <w:sz w:val="24"/>
          <w:szCs w:val="24"/>
          <w:lang w:eastAsia="zh-CN"/>
        </w:rPr>
      </w:pPr>
      <w:r>
        <w:rPr>
          <w:rFonts w:hint="default" w:ascii="Courier New" w:hAnsi="Courier New" w:eastAsia="宋体" w:cs="Courier New"/>
          <w:b/>
          <w:bCs/>
          <w:sz w:val="24"/>
          <w:szCs w:val="24"/>
          <w:lang w:eastAsia="zh-CN"/>
        </w:rPr>
        <w:t>Product specifications:</w:t>
      </w:r>
    </w:p>
    <w:tbl>
      <w:tblPr>
        <w:tblStyle w:val="5"/>
        <w:tblW w:w="8322" w:type="dxa"/>
        <w:jc w:val="center"/>
        <w:tblLayout w:type="fixed"/>
        <w:tblCellMar>
          <w:top w:w="0" w:type="dxa"/>
          <w:left w:w="10" w:type="dxa"/>
          <w:bottom w:w="0" w:type="dxa"/>
          <w:right w:w="10" w:type="dxa"/>
        </w:tblCellMar>
      </w:tblPr>
      <w:tblGrid>
        <w:gridCol w:w="2381"/>
        <w:gridCol w:w="5941"/>
      </w:tblGrid>
      <w:tr>
        <w:trPr>
          <w:trHeight w:val="519" w:hRule="exact"/>
          <w:jc w:val="center"/>
        </w:trPr>
        <w:tc>
          <w:tcPr>
            <w:tcW w:w="2381" w:type="dxa"/>
            <w:tcBorders>
              <w:top w:val="single" w:color="auto" w:sz="4" w:space="0"/>
              <w:left w:val="single" w:color="auto" w:sz="4" w:space="0"/>
              <w:bottom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zh-CN" w:eastAsia="zh-CN" w:bidi="zh-CN"/>
              </w:rPr>
              <w:t>appearance</w:t>
            </w:r>
          </w:p>
        </w:tc>
        <w:tc>
          <w:tcPr>
            <w:tcW w:w="594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en-US" w:eastAsia="zh-CN" w:bidi="zh-CN"/>
              </w:rPr>
              <w:t>Colorless or yellowish viscous liquid</w:t>
            </w:r>
          </w:p>
        </w:tc>
      </w:tr>
      <w:tr>
        <w:tblPrEx>
          <w:tblCellMar>
            <w:top w:w="0" w:type="dxa"/>
            <w:left w:w="10" w:type="dxa"/>
            <w:bottom w:w="0" w:type="dxa"/>
            <w:right w:w="10" w:type="dxa"/>
          </w:tblCellMar>
        </w:tblPrEx>
        <w:trPr>
          <w:trHeight w:val="519" w:hRule="exact"/>
          <w:jc w:val="center"/>
        </w:trPr>
        <w:tc>
          <w:tcPr>
            <w:tcW w:w="2381" w:type="dxa"/>
            <w:tcBorders>
              <w:top w:val="single" w:color="auto" w:sz="4" w:space="0"/>
              <w:left w:val="single" w:color="auto" w:sz="4" w:space="0"/>
              <w:bottom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en-US" w:eastAsia="zh-CN" w:bidi="zh-CN"/>
              </w:rPr>
              <w:t>Activity of</w:t>
            </w:r>
          </w:p>
        </w:tc>
        <w:tc>
          <w:tcPr>
            <w:tcW w:w="594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en-US" w:eastAsia="zh-CN" w:bidi="zh-CN"/>
              </w:rPr>
              <w:t>70%</w:t>
            </w:r>
          </w:p>
        </w:tc>
      </w:tr>
      <w:tr>
        <w:tblPrEx>
          <w:tblCellMar>
            <w:top w:w="0" w:type="dxa"/>
            <w:left w:w="10" w:type="dxa"/>
            <w:bottom w:w="0" w:type="dxa"/>
            <w:right w:w="10" w:type="dxa"/>
          </w:tblCellMar>
        </w:tblPrEx>
        <w:trPr>
          <w:trHeight w:val="519" w:hRule="exact"/>
          <w:jc w:val="center"/>
        </w:trPr>
        <w:tc>
          <w:tcPr>
            <w:tcW w:w="2381" w:type="dxa"/>
            <w:tcBorders>
              <w:top w:val="single" w:color="auto" w:sz="4" w:space="0"/>
              <w:left w:val="single" w:color="auto" w:sz="4" w:space="0"/>
              <w:bottom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en-US" w:eastAsia="zh-CN" w:bidi="zh-CN"/>
              </w:rPr>
              <w:t>solvent</w:t>
            </w:r>
          </w:p>
        </w:tc>
        <w:tc>
          <w:tcPr>
            <w:tcW w:w="594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en-US" w:eastAsia="zh-CN" w:bidi="zh-CN"/>
              </w:rPr>
              <w:t>xylene</w:t>
            </w:r>
          </w:p>
        </w:tc>
      </w:tr>
      <w:tr>
        <w:tblPrEx>
          <w:tblCellMar>
            <w:top w:w="0" w:type="dxa"/>
            <w:left w:w="10" w:type="dxa"/>
            <w:bottom w:w="0" w:type="dxa"/>
            <w:right w:w="10" w:type="dxa"/>
          </w:tblCellMar>
        </w:tblPrEx>
        <w:trPr>
          <w:trHeight w:val="1474" w:hRule="exact"/>
          <w:jc w:val="center"/>
        </w:trPr>
        <w:tc>
          <w:tcPr>
            <w:tcW w:w="2381" w:type="dxa"/>
            <w:tcBorders>
              <w:top w:val="single" w:color="auto" w:sz="4" w:space="0"/>
              <w:left w:val="single" w:color="auto" w:sz="4" w:space="0"/>
              <w:bottom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en-US" w:eastAsia="zh-CN" w:bidi="zh-CN"/>
              </w:rPr>
              <w:t>ingredients</w:t>
            </w:r>
          </w:p>
        </w:tc>
        <w:tc>
          <w:tcPr>
            <w:tcW w:w="594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6"/>
              <w:shd w:val="clear" w:color="auto" w:fill="auto"/>
              <w:spacing w:after="0" w:line="360" w:lineRule="auto"/>
              <w:ind w:firstLine="0"/>
              <w:jc w:val="center"/>
              <w:rPr>
                <w:rFonts w:hint="default" w:ascii="Courier New" w:hAnsi="Courier New" w:cs="Courier New"/>
                <w:sz w:val="24"/>
                <w:szCs w:val="24"/>
                <w:lang w:val="en-US" w:eastAsia="zh-CN" w:bidi="zh-CN"/>
              </w:rPr>
            </w:pPr>
            <w:r>
              <w:rPr>
                <w:rFonts w:hint="default" w:ascii="Courier New" w:hAnsi="Courier New" w:cs="Courier New"/>
                <w:sz w:val="24"/>
                <w:szCs w:val="24"/>
                <w:lang w:val="en-US" w:eastAsia="zh-CN" w:bidi="zh-CN"/>
              </w:rPr>
              <w:t>A specially modified polyester resin with low acid value long chain containing multifunctional groups</w:t>
            </w:r>
          </w:p>
        </w:tc>
      </w:tr>
    </w:tbl>
    <w:p>
      <w:pPr>
        <w:pStyle w:val="12"/>
        <w:shd w:val="clear" w:color="auto" w:fill="auto"/>
        <w:spacing w:after="0" w:line="360" w:lineRule="auto"/>
        <w:jc w:val="left"/>
        <w:rPr>
          <w:rFonts w:hint="default" w:ascii="Courier New" w:hAnsi="Courier New" w:eastAsia="宋体" w:cs="Courier New"/>
          <w:b/>
          <w:bCs/>
          <w:sz w:val="24"/>
          <w:szCs w:val="24"/>
          <w:lang w:val="en-US" w:eastAsia="zh-CN"/>
        </w:rPr>
      </w:pPr>
    </w:p>
    <w:p>
      <w:pPr>
        <w:keepNext w:val="0"/>
        <w:keepLines w:val="0"/>
        <w:widowControl/>
        <w:suppressLineNumbers w:val="0"/>
        <w:spacing w:line="360" w:lineRule="auto"/>
        <w:jc w:val="left"/>
        <w:rPr>
          <w:rFonts w:hint="default" w:ascii="Courier New" w:hAnsi="Courier New" w:eastAsia="宋体" w:cs="Courier New"/>
          <w:b w:val="0"/>
          <w:bCs w:val="0"/>
          <w:sz w:val="24"/>
          <w:szCs w:val="24"/>
          <w:lang w:val="en-US" w:eastAsia="zh-CN"/>
        </w:rPr>
      </w:pPr>
      <w:r>
        <w:rPr>
          <w:rFonts w:hint="default" w:ascii="Courier New" w:hAnsi="Courier New" w:eastAsia="宋体" w:cs="Courier New"/>
          <w:b/>
          <w:bCs/>
          <w:sz w:val="24"/>
          <w:szCs w:val="24"/>
          <w:lang w:val="en-US" w:eastAsia="zh-CN"/>
        </w:rPr>
        <w:t xml:space="preserve">Recommended dosage: </w:t>
      </w:r>
      <w:r>
        <w:rPr>
          <w:rFonts w:hint="default" w:ascii="Courier New" w:hAnsi="Courier New" w:eastAsia="宋体" w:cs="Courier New"/>
          <w:b w:val="0"/>
          <w:bCs w:val="0"/>
          <w:sz w:val="24"/>
          <w:szCs w:val="24"/>
          <w:lang w:val="en-US" w:eastAsia="zh-CN"/>
        </w:rPr>
        <w:t>total formula volume 1.0-2.0%</w:t>
      </w:r>
    </w:p>
    <w:p>
      <w:pPr>
        <w:keepNext w:val="0"/>
        <w:keepLines w:val="0"/>
        <w:widowControl/>
        <w:suppressLineNumbers w:val="0"/>
        <w:spacing w:line="360" w:lineRule="auto"/>
        <w:jc w:val="left"/>
        <w:rPr>
          <w:rFonts w:hint="default" w:ascii="Courier New" w:hAnsi="Courier New" w:eastAsia="宋体" w:cs="Courier New"/>
          <w:b w:val="0"/>
          <w:bCs w:val="0"/>
          <w:sz w:val="24"/>
          <w:szCs w:val="24"/>
          <w:lang w:val="en-US" w:eastAsia="zh-CN"/>
        </w:rPr>
      </w:pPr>
      <w:r>
        <w:rPr>
          <w:rFonts w:hint="default" w:ascii="Courier New" w:hAnsi="Courier New" w:eastAsia="宋体" w:cs="Courier New"/>
          <w:b/>
          <w:bCs/>
          <w:sz w:val="24"/>
          <w:szCs w:val="24"/>
          <w:lang w:val="en-US" w:eastAsia="zh-CN"/>
        </w:rPr>
        <w:t xml:space="preserve">Packaging: </w:t>
      </w:r>
      <w:r>
        <w:rPr>
          <w:rFonts w:hint="default" w:ascii="Courier New" w:hAnsi="Courier New" w:eastAsia="宋体" w:cs="Courier New"/>
          <w:b w:val="0"/>
          <w:bCs w:val="0"/>
          <w:sz w:val="24"/>
          <w:szCs w:val="24"/>
          <w:lang w:val="en-US" w:eastAsia="zh-CN"/>
        </w:rPr>
        <w:t>25kg non-recycled plastic drum. The product is not completely used, the lid must be tightly closed after use.</w:t>
      </w:r>
    </w:p>
    <w:p>
      <w:pPr>
        <w:keepNext w:val="0"/>
        <w:keepLines w:val="0"/>
        <w:widowControl/>
        <w:suppressLineNumbers w:val="0"/>
        <w:spacing w:line="360" w:lineRule="auto"/>
        <w:jc w:val="left"/>
        <w:rPr>
          <w:rFonts w:hint="default" w:ascii="Courier New" w:hAnsi="Courier New" w:eastAsia="宋体" w:cs="Courier New"/>
          <w:b w:val="0"/>
          <w:bCs w:val="0"/>
          <w:sz w:val="24"/>
          <w:szCs w:val="24"/>
          <w:lang w:val="en-US" w:eastAsia="zh-CN"/>
        </w:rPr>
      </w:pPr>
      <w:r>
        <w:rPr>
          <w:rFonts w:hint="default" w:ascii="Courier New" w:hAnsi="Courier New" w:eastAsia="宋体" w:cs="Courier New"/>
          <w:b/>
          <w:bCs/>
          <w:sz w:val="24"/>
          <w:szCs w:val="24"/>
          <w:lang w:val="en-US" w:eastAsia="zh-CN"/>
        </w:rPr>
        <w:t>Storage:</w:t>
      </w:r>
      <w:r>
        <w:rPr>
          <w:rFonts w:hint="default" w:ascii="Courier New" w:hAnsi="Courier New" w:eastAsia="宋体" w:cs="Courier New"/>
          <w:b w:val="0"/>
          <w:bCs w:val="0"/>
          <w:sz w:val="24"/>
          <w:szCs w:val="24"/>
          <w:lang w:val="en-US" w:eastAsia="zh-CN"/>
        </w:rPr>
        <w:t xml:space="preserve"> keep away from heat and fire and keep away from light.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eastAsia="宋体"/>
        <w:lang w:val="en-US" w:eastAsia="zh-CN"/>
      </w:rPr>
      <w:t>专注于涂料油墨添加剂</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0"/>
      <w:jc w:val="both"/>
      <w:rPr>
        <w:b/>
        <w:bCs/>
        <w:sz w:val="24"/>
        <w:szCs w:val="24"/>
        <w:lang w:eastAsia="zh-CN"/>
      </w:rPr>
    </w:pPr>
    <w:r>
      <w:rPr>
        <w:rFonts w:ascii="宋体" w:hAnsi="宋体" w:eastAsia="宋体" w:cs="宋体"/>
        <w:b/>
        <w:bCs/>
        <w:sz w:val="24"/>
        <w:szCs w:val="24"/>
        <w:lang w:eastAsia="zh-CN"/>
      </w:rPr>
      <w:drawing>
        <wp:inline distT="0" distB="0" distL="114300" distR="114300">
          <wp:extent cx="1227455" cy="573405"/>
          <wp:effectExtent l="0" t="0" r="10795" b="17145"/>
          <wp:docPr id="3" name="图片 3" descr="d0eb846f114f98ef4606f1111412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0eb846f114f98ef4606f111141294e"/>
                  <pic:cNvPicPr>
                    <a:picLocks noChangeAspect="1"/>
                  </pic:cNvPicPr>
                </pic:nvPicPr>
                <pic:blipFill>
                  <a:blip r:embed="rId1"/>
                  <a:stretch>
                    <a:fillRect/>
                  </a:stretch>
                </pic:blipFill>
                <pic:spPr>
                  <a:xfrm>
                    <a:off x="0" y="0"/>
                    <a:ext cx="1227455" cy="573405"/>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2NTIzMzkzMWU2NTkwNWRjYjI2MmE2MzJmOThmNj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1854523"/>
    <w:rsid w:val="05400176"/>
    <w:rsid w:val="06640499"/>
    <w:rsid w:val="076D5A73"/>
    <w:rsid w:val="07724E37"/>
    <w:rsid w:val="07E602C6"/>
    <w:rsid w:val="0B9F7D16"/>
    <w:rsid w:val="12A61AC0"/>
    <w:rsid w:val="175E7186"/>
    <w:rsid w:val="1C542C6A"/>
    <w:rsid w:val="22E90D52"/>
    <w:rsid w:val="234B0EA3"/>
    <w:rsid w:val="26947D1F"/>
    <w:rsid w:val="28576450"/>
    <w:rsid w:val="28D63020"/>
    <w:rsid w:val="2FDA5D83"/>
    <w:rsid w:val="3159508F"/>
    <w:rsid w:val="32810B95"/>
    <w:rsid w:val="333F1481"/>
    <w:rsid w:val="3600792F"/>
    <w:rsid w:val="37661A13"/>
    <w:rsid w:val="43C33A2E"/>
    <w:rsid w:val="476F7608"/>
    <w:rsid w:val="4CE03BBE"/>
    <w:rsid w:val="512C3524"/>
    <w:rsid w:val="536F5C0F"/>
    <w:rsid w:val="54E840FB"/>
    <w:rsid w:val="5645608D"/>
    <w:rsid w:val="577D0987"/>
    <w:rsid w:val="5B6C56F0"/>
    <w:rsid w:val="5BB256C9"/>
    <w:rsid w:val="5F7A39FE"/>
    <w:rsid w:val="66304A06"/>
    <w:rsid w:val="66B07D06"/>
    <w:rsid w:val="68250B9A"/>
    <w:rsid w:val="68686703"/>
    <w:rsid w:val="6A855FF6"/>
    <w:rsid w:val="6B433778"/>
    <w:rsid w:val="6B5E5F82"/>
    <w:rsid w:val="6BD447DE"/>
    <w:rsid w:val="6C985FC2"/>
    <w:rsid w:val="6D3564BE"/>
    <w:rsid w:val="706D1B4A"/>
    <w:rsid w:val="73E57241"/>
    <w:rsid w:val="746A5998"/>
    <w:rsid w:val="74D50E48"/>
    <w:rsid w:val="75A70DCA"/>
    <w:rsid w:val="78000AED"/>
    <w:rsid w:val="7929314A"/>
    <w:rsid w:val="7BA343D0"/>
    <w:rsid w:val="7BC3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 (2)_"/>
    <w:basedOn w:val="7"/>
    <w:link w:val="12"/>
    <w:qFormat/>
    <w:uiPriority w:val="0"/>
    <w:rPr>
      <w:rFonts w:ascii="宋体" w:hAnsi="宋体" w:eastAsia="宋体" w:cs="宋体"/>
      <w:b/>
      <w:bCs/>
      <w:sz w:val="36"/>
      <w:szCs w:val="36"/>
      <w:shd w:val="clear" w:color="auto" w:fill="FFFFFF"/>
    </w:rPr>
  </w:style>
  <w:style w:type="paragraph" w:customStyle="1" w:styleId="12">
    <w:name w:val="正文文本 (2)"/>
    <w:basedOn w:val="1"/>
    <w:link w:val="11"/>
    <w:qFormat/>
    <w:uiPriority w:val="0"/>
    <w:pPr>
      <w:shd w:val="clear" w:color="auto" w:fill="FFFFFF"/>
      <w:spacing w:after="240"/>
      <w:jc w:val="center"/>
    </w:pPr>
    <w:rPr>
      <w:rFonts w:ascii="宋体" w:hAnsi="宋体" w:eastAsia="宋体" w:cs="宋体"/>
      <w:b/>
      <w:bCs/>
      <w:sz w:val="36"/>
      <w:szCs w:val="36"/>
    </w:rPr>
  </w:style>
  <w:style w:type="character" w:customStyle="1" w:styleId="13">
    <w:name w:val="正文文本_"/>
    <w:basedOn w:val="7"/>
    <w:link w:val="14"/>
    <w:qFormat/>
    <w:uiPriority w:val="0"/>
    <w:rPr>
      <w:rFonts w:ascii="宋体" w:hAnsi="宋体" w:eastAsia="宋体" w:cs="宋体"/>
      <w:shd w:val="clear" w:color="auto" w:fill="FFFFFF"/>
      <w:lang w:val="zh-CN" w:bidi="zh-CN"/>
    </w:rPr>
  </w:style>
  <w:style w:type="paragraph" w:customStyle="1" w:styleId="14">
    <w:name w:val="正文文本1"/>
    <w:basedOn w:val="1"/>
    <w:link w:val="13"/>
    <w:qFormat/>
    <w:uiPriority w:val="0"/>
    <w:pPr>
      <w:shd w:val="clear" w:color="auto" w:fill="FFFFFF"/>
      <w:spacing w:after="180"/>
      <w:ind w:firstLine="280"/>
    </w:pPr>
    <w:rPr>
      <w:rFonts w:ascii="宋体" w:hAnsi="宋体" w:eastAsia="宋体" w:cs="宋体"/>
      <w:lang w:val="zh-CN" w:bidi="zh-CN"/>
    </w:rPr>
  </w:style>
  <w:style w:type="character" w:customStyle="1" w:styleId="15">
    <w:name w:val="其他_"/>
    <w:basedOn w:val="7"/>
    <w:link w:val="16"/>
    <w:qFormat/>
    <w:uiPriority w:val="0"/>
    <w:rPr>
      <w:rFonts w:ascii="宋体" w:hAnsi="宋体" w:eastAsia="宋体" w:cs="宋体"/>
      <w:shd w:val="clear" w:color="auto" w:fill="FFFFFF"/>
    </w:rPr>
  </w:style>
  <w:style w:type="paragraph" w:customStyle="1" w:styleId="16">
    <w:name w:val="其他"/>
    <w:basedOn w:val="1"/>
    <w:link w:val="15"/>
    <w:qFormat/>
    <w:uiPriority w:val="0"/>
    <w:pPr>
      <w:shd w:val="clear" w:color="auto" w:fill="FFFFFF"/>
      <w:spacing w:after="180"/>
      <w:ind w:firstLine="280"/>
    </w:pPr>
    <w:rPr>
      <w:rFonts w:ascii="宋体" w:hAnsi="宋体" w:eastAsia="宋体" w:cs="宋体"/>
    </w:rPr>
  </w:style>
  <w:style w:type="character" w:customStyle="1" w:styleId="17">
    <w:name w:val="正文文本 (4)_"/>
    <w:basedOn w:val="7"/>
    <w:link w:val="18"/>
    <w:qFormat/>
    <w:uiPriority w:val="0"/>
    <w:rPr>
      <w:rFonts w:ascii="黑体" w:hAnsi="黑体" w:eastAsia="黑体" w:cs="黑体"/>
      <w:b/>
      <w:bCs/>
      <w:sz w:val="36"/>
      <w:szCs w:val="36"/>
      <w:shd w:val="clear" w:color="auto" w:fill="FFFFFF"/>
      <w:lang w:val="zh-CN" w:bidi="zh-CN"/>
    </w:rPr>
  </w:style>
  <w:style w:type="paragraph" w:customStyle="1" w:styleId="18">
    <w:name w:val="正文文本 (4)"/>
    <w:basedOn w:val="1"/>
    <w:link w:val="17"/>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19">
    <w:name w:val="正文文本 (3)_"/>
    <w:basedOn w:val="7"/>
    <w:link w:val="20"/>
    <w:qFormat/>
    <w:uiPriority w:val="0"/>
    <w:rPr>
      <w:rFonts w:ascii="Arial" w:hAnsi="Arial" w:eastAsia="Arial" w:cs="Arial"/>
      <w:b/>
      <w:bCs/>
      <w:sz w:val="34"/>
      <w:szCs w:val="34"/>
      <w:shd w:val="clear" w:color="auto" w:fill="FFFFFF"/>
    </w:rPr>
  </w:style>
  <w:style w:type="paragraph" w:customStyle="1" w:styleId="20">
    <w:name w:val="正文文本 (3)"/>
    <w:basedOn w:val="1"/>
    <w:link w:val="19"/>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1">
    <w:name w:val="表格标题_"/>
    <w:basedOn w:val="7"/>
    <w:link w:val="22"/>
    <w:qFormat/>
    <w:uiPriority w:val="0"/>
    <w:rPr>
      <w:rFonts w:ascii="Calibri" w:hAnsi="Calibri" w:eastAsia="Calibri" w:cs="Calibri"/>
      <w:sz w:val="16"/>
      <w:szCs w:val="16"/>
      <w:shd w:val="clear" w:color="auto" w:fill="FFFFFF"/>
    </w:rPr>
  </w:style>
  <w:style w:type="paragraph" w:customStyle="1" w:styleId="22">
    <w:name w:val="表格标题"/>
    <w:basedOn w:val="1"/>
    <w:link w:val="21"/>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3">
    <w:name w:val="标题 #1_"/>
    <w:basedOn w:val="7"/>
    <w:link w:val="24"/>
    <w:qFormat/>
    <w:uiPriority w:val="0"/>
    <w:rPr>
      <w:rFonts w:ascii="Arial" w:hAnsi="Arial" w:eastAsia="Arial" w:cs="Arial"/>
      <w:b/>
      <w:bCs/>
      <w:sz w:val="36"/>
      <w:szCs w:val="36"/>
      <w:shd w:val="clear" w:color="auto" w:fill="FFFFFF"/>
    </w:rPr>
  </w:style>
  <w:style w:type="paragraph" w:customStyle="1" w:styleId="24">
    <w:name w:val="标题 #1"/>
    <w:basedOn w:val="1"/>
    <w:link w:val="23"/>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5">
    <w:name w:val="标题 #2_"/>
    <w:basedOn w:val="7"/>
    <w:link w:val="26"/>
    <w:qFormat/>
    <w:uiPriority w:val="0"/>
    <w:rPr>
      <w:rFonts w:ascii="黑体" w:hAnsi="黑体" w:eastAsia="黑体" w:cs="黑体"/>
      <w:b/>
      <w:bCs/>
      <w:i/>
      <w:iCs/>
      <w:shd w:val="clear" w:color="auto" w:fill="FFFFFF"/>
      <w:lang w:val="zh-CN" w:bidi="zh-CN"/>
    </w:rPr>
  </w:style>
  <w:style w:type="paragraph" w:customStyle="1" w:styleId="26">
    <w:name w:val="标题 #2"/>
    <w:basedOn w:val="1"/>
    <w:link w:val="25"/>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7">
    <w:name w:val="图片标题_"/>
    <w:basedOn w:val="7"/>
    <w:link w:val="28"/>
    <w:qFormat/>
    <w:uiPriority w:val="0"/>
    <w:rPr>
      <w:rFonts w:ascii="黑体" w:hAnsi="黑体" w:eastAsia="黑体" w:cs="黑体"/>
      <w:sz w:val="22"/>
      <w:shd w:val="clear" w:color="auto" w:fill="FFFFFF"/>
      <w:lang w:val="zh-CN" w:bidi="zh-CN"/>
    </w:rPr>
  </w:style>
  <w:style w:type="paragraph" w:customStyle="1" w:styleId="28">
    <w:name w:val="图片标题"/>
    <w:basedOn w:val="1"/>
    <w:link w:val="27"/>
    <w:qFormat/>
    <w:uiPriority w:val="0"/>
    <w:pPr>
      <w:shd w:val="clear" w:color="auto" w:fill="FFFFFF"/>
    </w:pPr>
    <w:rPr>
      <w:rFonts w:ascii="黑体" w:hAnsi="黑体" w:eastAsia="黑体" w:cs="黑体"/>
      <w:color w:val="auto"/>
      <w:kern w:val="2"/>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214</Words>
  <Characters>230</Characters>
  <Lines>2</Lines>
  <Paragraphs>1</Paragraphs>
  <TotalTime>48</TotalTime>
  <ScaleCrop>false</ScaleCrop>
  <LinksUpToDate>false</LinksUpToDate>
  <CharactersWithSpaces>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李超</cp:lastModifiedBy>
  <cp:lastPrinted>2020-05-20T07:39:00Z</cp:lastPrinted>
  <dcterms:modified xsi:type="dcterms:W3CDTF">2022-05-28T05:20:58Z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0DBDF428D8E74A559C30798F024AE415</vt:lpwstr>
  </property>
</Properties>
</file>