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Water-based rare earth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RD-9606</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It can make water-based rare earth dispersion liquid with high solid content and low viscosity, which is easy to grind and disperse, and can make nano rare earth slurry. The ground rare earth slurry has excellent storage stability and does not reverse rough. Nanometer slurry has a short grinding time and is an ideal dispersant for making high solid water-containing rare earth slurry.</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A colorless or yellowish viscous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Solid content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PH value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7.0（stoste）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ionism</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Polymeric block copolymers containing pigment affinity groups</w:t>
            </w:r>
          </w:p>
        </w:tc>
      </w:tr>
    </w:tbl>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keepNext w:val="0"/>
        <w:keepLines w:val="0"/>
        <w:widowControl/>
        <w:suppressLineNumbers w:val="0"/>
        <w:spacing w:line="360" w:lineRule="auto"/>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A hyperdispersant specially developed for water-based rare earth grinding and dispersion</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5"/>
        <w:gridCol w:w="2427"/>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rPr>
              <w:t>material</w:t>
            </w:r>
          </w:p>
        </w:tc>
        <w:tc>
          <w:tcPr>
            <w:tcW w:w="2427"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Thin soil</w:t>
            </w:r>
          </w:p>
        </w:tc>
        <w:tc>
          <w:tcPr>
            <w:tcW w:w="2714"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rPr>
              <w:t>Inorganic pigment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rPr>
              <w:t>Pigment content %</w:t>
            </w:r>
          </w:p>
        </w:tc>
        <w:tc>
          <w:tcPr>
            <w:tcW w:w="2427"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5~10%</w:t>
            </w:r>
          </w:p>
        </w:tc>
        <w:tc>
          <w:tcPr>
            <w:tcW w:w="2714" w:type="dxa"/>
          </w:tcPr>
          <w:p>
            <w:pPr>
              <w:keepNext w:val="0"/>
              <w:keepLines w:val="0"/>
              <w:widowControl/>
              <w:suppressLineNumbers w:val="0"/>
              <w:spacing w:line="360" w:lineRule="auto"/>
              <w:jc w:val="left"/>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5~10%</w:t>
            </w:r>
          </w:p>
        </w:tc>
      </w:tr>
    </w:tbl>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Usage:</w:t>
      </w:r>
      <w:r>
        <w:rPr>
          <w:rFonts w:hint="eastAsia" w:ascii="宋体" w:hAnsi="宋体" w:eastAsia="宋体" w:cs="宋体"/>
          <w:b w:val="0"/>
          <w:bCs w:val="0"/>
          <w:color w:val="000000"/>
          <w:kern w:val="0"/>
          <w:sz w:val="24"/>
          <w:szCs w:val="24"/>
          <w:lang w:val="en-US" w:eastAsia="zh-CN" w:bidi="ar"/>
        </w:rPr>
        <w:t xml:space="preserve"> First, the dispersant is completely dispersed in the material required for the formula, and then the dispersion is uniform.</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3605FF"/>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2024-02-17T07:14:04Z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9FC0DA86F4644E248E24480F2B53436C_13</vt:lpwstr>
  </property>
</Properties>
</file>